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31" w:tblpY="-43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</w:tblGrid>
      <w:tr w:rsidR="007132D9" w:rsidTr="00475E6F">
        <w:tc>
          <w:tcPr>
            <w:tcW w:w="5036" w:type="dxa"/>
          </w:tcPr>
          <w:p w:rsidR="007132D9" w:rsidRDefault="007132D9" w:rsidP="00475E6F">
            <w:pPr>
              <w:jc w:val="center"/>
              <w:rPr>
                <w:sz w:val="22"/>
              </w:rPr>
            </w:pP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75E6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75E6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75E6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БОЛДЫРЕВСКИЙ СЕЛЬСОВЕТ</w:t>
            </w: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75E6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ТАШЛИНСКОГО РАЙОНА </w:t>
            </w: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75E6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ОРЕНБУРГСКОЙ ОБЛАСТИ</w:t>
            </w:r>
          </w:p>
          <w:p w:rsidR="00475E6F" w:rsidRPr="00475E6F" w:rsidRDefault="00475E6F" w:rsidP="00475E6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475E6F" w:rsidRPr="00475E6F" w:rsidRDefault="00475E6F" w:rsidP="00475E6F">
            <w:pPr>
              <w:jc w:val="center"/>
              <w:rPr>
                <w:rFonts w:eastAsiaTheme="minorHAnsi" w:cs="Calibri"/>
                <w:b/>
                <w:bCs/>
                <w:sz w:val="22"/>
              </w:rPr>
            </w:pPr>
            <w:r w:rsidRPr="00475E6F">
              <w:rPr>
                <w:rFonts w:eastAsiaTheme="minorHAnsi" w:cs="Calibri"/>
                <w:b/>
                <w:bCs/>
                <w:sz w:val="22"/>
              </w:rPr>
              <w:t>П О С Т А Н О В Л Е Н И Е</w:t>
            </w:r>
          </w:p>
          <w:p w:rsidR="007132D9" w:rsidRDefault="007132D9" w:rsidP="00475E6F">
            <w:pPr>
              <w:rPr>
                <w:rFonts w:ascii="Arial" w:hAnsi="Arial" w:cs="Arial"/>
                <w:sz w:val="22"/>
              </w:rPr>
            </w:pPr>
          </w:p>
        </w:tc>
      </w:tr>
      <w:tr w:rsidR="00475E6F" w:rsidTr="00475E6F">
        <w:tc>
          <w:tcPr>
            <w:tcW w:w="5036" w:type="dxa"/>
          </w:tcPr>
          <w:p w:rsidR="00475E6F" w:rsidRDefault="00475E6F" w:rsidP="00475E6F">
            <w:pPr>
              <w:rPr>
                <w:sz w:val="22"/>
              </w:rPr>
            </w:pPr>
          </w:p>
        </w:tc>
      </w:tr>
      <w:tr w:rsidR="007132D9" w:rsidTr="00475E6F">
        <w:tc>
          <w:tcPr>
            <w:tcW w:w="5036" w:type="dxa"/>
            <w:hideMark/>
          </w:tcPr>
          <w:p w:rsidR="007132D9" w:rsidRPr="00475E6F" w:rsidRDefault="007132D9" w:rsidP="00475E6F">
            <w:pPr>
              <w:jc w:val="both"/>
              <w:rPr>
                <w:bCs/>
                <w:color w:val="000000"/>
                <w:szCs w:val="28"/>
                <w:u w:val="single"/>
              </w:rPr>
            </w:pPr>
            <w:r w:rsidRPr="00475E6F">
              <w:rPr>
                <w:bCs/>
                <w:color w:val="000000"/>
                <w:szCs w:val="28"/>
              </w:rPr>
              <w:t xml:space="preserve">         </w:t>
            </w:r>
            <w:r w:rsidR="00475E6F">
              <w:rPr>
                <w:bCs/>
                <w:color w:val="000000"/>
                <w:szCs w:val="28"/>
              </w:rPr>
              <w:t xml:space="preserve">       </w:t>
            </w:r>
            <w:r w:rsidR="00DC7AE2">
              <w:rPr>
                <w:bCs/>
                <w:color w:val="000000"/>
                <w:szCs w:val="28"/>
                <w:u w:val="single"/>
              </w:rPr>
              <w:t>13.10.2023 № 89</w:t>
            </w:r>
            <w:r w:rsidRPr="00475E6F">
              <w:rPr>
                <w:bCs/>
                <w:color w:val="000000"/>
                <w:szCs w:val="28"/>
                <w:u w:val="single"/>
              </w:rPr>
              <w:t>-п</w:t>
            </w:r>
          </w:p>
          <w:p w:rsidR="007132D9" w:rsidRDefault="00475E6F" w:rsidP="00475E6F">
            <w:pPr>
              <w:jc w:val="both"/>
              <w:rPr>
                <w:b/>
                <w:bCs/>
                <w:sz w:val="22"/>
              </w:rPr>
            </w:pPr>
            <w:r>
              <w:rPr>
                <w:bCs/>
                <w:color w:val="FF0000"/>
                <w:szCs w:val="28"/>
              </w:rPr>
              <w:t xml:space="preserve">                    </w:t>
            </w:r>
            <w:r w:rsidR="007132D9" w:rsidRPr="00475E6F">
              <w:rPr>
                <w:bCs/>
                <w:szCs w:val="28"/>
              </w:rPr>
              <w:t>с. Болдырево</w:t>
            </w:r>
          </w:p>
        </w:tc>
      </w:tr>
    </w:tbl>
    <w:p w:rsidR="007132D9" w:rsidRDefault="007132D9" w:rsidP="007132D9">
      <w:pPr>
        <w:jc w:val="both"/>
        <w:outlineLvl w:val="0"/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475E6F" w:rsidRDefault="00475E6F" w:rsidP="007132D9">
      <w:pPr>
        <w:rPr>
          <w:szCs w:val="28"/>
        </w:rPr>
      </w:pPr>
    </w:p>
    <w:p w:rsidR="007132D9" w:rsidRPr="00475E6F" w:rsidRDefault="007132D9" w:rsidP="007132D9">
      <w:pPr>
        <w:rPr>
          <w:szCs w:val="28"/>
        </w:rPr>
      </w:pPr>
      <w:r w:rsidRPr="00475E6F">
        <w:rPr>
          <w:szCs w:val="28"/>
        </w:rPr>
        <w:t xml:space="preserve">Об утверждении методики </w:t>
      </w:r>
    </w:p>
    <w:p w:rsidR="007132D9" w:rsidRPr="00475E6F" w:rsidRDefault="007132D9" w:rsidP="007132D9">
      <w:pPr>
        <w:rPr>
          <w:szCs w:val="28"/>
        </w:rPr>
      </w:pPr>
      <w:r w:rsidRPr="00475E6F">
        <w:rPr>
          <w:szCs w:val="28"/>
        </w:rPr>
        <w:t xml:space="preserve">формирования бюджета </w:t>
      </w:r>
    </w:p>
    <w:p w:rsidR="007132D9" w:rsidRPr="00475E6F" w:rsidRDefault="007132D9" w:rsidP="007132D9">
      <w:pPr>
        <w:rPr>
          <w:szCs w:val="28"/>
        </w:rPr>
      </w:pPr>
      <w:r w:rsidRPr="00475E6F">
        <w:rPr>
          <w:szCs w:val="28"/>
        </w:rPr>
        <w:t>муниципального образования</w:t>
      </w:r>
    </w:p>
    <w:p w:rsidR="007132D9" w:rsidRPr="00475E6F" w:rsidRDefault="007132D9" w:rsidP="007132D9">
      <w:pPr>
        <w:rPr>
          <w:szCs w:val="28"/>
        </w:rPr>
      </w:pPr>
      <w:proofErr w:type="spellStart"/>
      <w:r w:rsidRPr="00475E6F">
        <w:rPr>
          <w:szCs w:val="28"/>
        </w:rPr>
        <w:t>Болдыревский</w:t>
      </w:r>
      <w:proofErr w:type="spellEnd"/>
      <w:r w:rsidRPr="00475E6F">
        <w:rPr>
          <w:szCs w:val="28"/>
        </w:rPr>
        <w:t xml:space="preserve"> сельсовет на </w:t>
      </w:r>
    </w:p>
    <w:p w:rsidR="007132D9" w:rsidRPr="00475E6F" w:rsidRDefault="00231F68" w:rsidP="007132D9">
      <w:pPr>
        <w:rPr>
          <w:szCs w:val="28"/>
        </w:rPr>
      </w:pPr>
      <w:r>
        <w:rPr>
          <w:szCs w:val="28"/>
        </w:rPr>
        <w:t>2024 год и плановый период 2025 и 2026</w:t>
      </w:r>
      <w:r w:rsidR="007132D9" w:rsidRPr="00475E6F">
        <w:rPr>
          <w:szCs w:val="28"/>
        </w:rPr>
        <w:t xml:space="preserve"> годов</w:t>
      </w:r>
    </w:p>
    <w:p w:rsidR="007132D9" w:rsidRPr="00475E6F" w:rsidRDefault="003958FA" w:rsidP="003958FA">
      <w:pPr>
        <w:tabs>
          <w:tab w:val="left" w:pos="3315"/>
        </w:tabs>
        <w:jc w:val="both"/>
        <w:outlineLvl w:val="0"/>
        <w:rPr>
          <w:szCs w:val="28"/>
        </w:rPr>
      </w:pPr>
      <w:r w:rsidRPr="00475E6F">
        <w:rPr>
          <w:szCs w:val="28"/>
        </w:rPr>
        <w:tab/>
      </w:r>
    </w:p>
    <w:p w:rsidR="007132D9" w:rsidRDefault="007132D9" w:rsidP="007132D9">
      <w:pPr>
        <w:jc w:val="both"/>
        <w:outlineLvl w:val="0"/>
      </w:pPr>
      <w:r>
        <w:t xml:space="preserve">       </w:t>
      </w:r>
    </w:p>
    <w:p w:rsidR="007132D9" w:rsidRDefault="007132D9" w:rsidP="007132D9">
      <w:pPr>
        <w:jc w:val="both"/>
        <w:outlineLvl w:val="0"/>
      </w:pPr>
    </w:p>
    <w:p w:rsidR="007132D9" w:rsidRDefault="007132D9" w:rsidP="007132D9">
      <w:pPr>
        <w:suppressAutoHyphens/>
        <w:ind w:firstLine="567"/>
        <w:jc w:val="both"/>
      </w:pPr>
      <w:r>
        <w:t xml:space="preserve">В целях подготовки </w:t>
      </w:r>
      <w:proofErr w:type="gramStart"/>
      <w:r>
        <w:t>проекта  бюджета</w:t>
      </w:r>
      <w:proofErr w:type="gramEnd"/>
      <w:r>
        <w:t xml:space="preserve"> муниципального образования </w:t>
      </w:r>
      <w:proofErr w:type="spellStart"/>
      <w:r>
        <w:t>Болдыревский</w:t>
      </w:r>
      <w:proofErr w:type="spellEnd"/>
      <w:r w:rsidR="00231F68">
        <w:t xml:space="preserve"> сельсовет на 2024 год и плановый период 2025 и 2026</w:t>
      </w:r>
      <w:r>
        <w:t xml:space="preserve"> годов:</w:t>
      </w:r>
    </w:p>
    <w:p w:rsidR="00475E6F" w:rsidRDefault="00475E6F" w:rsidP="007132D9">
      <w:pPr>
        <w:suppressAutoHyphens/>
        <w:ind w:firstLine="567"/>
        <w:jc w:val="both"/>
      </w:pPr>
    </w:p>
    <w:p w:rsidR="007132D9" w:rsidRDefault="007132D9" w:rsidP="007132D9">
      <w:pPr>
        <w:suppressAutoHyphens/>
        <w:ind w:firstLine="567"/>
        <w:jc w:val="both"/>
      </w:pPr>
      <w:r>
        <w:t xml:space="preserve">1. Утвердить методику </w:t>
      </w:r>
      <w:proofErr w:type="gramStart"/>
      <w:r>
        <w:t>формирования  бюджета</w:t>
      </w:r>
      <w:proofErr w:type="gramEnd"/>
      <w:r>
        <w:t xml:space="preserve"> муниципального образования </w:t>
      </w:r>
      <w:proofErr w:type="spellStart"/>
      <w:r>
        <w:t>Болдыревский</w:t>
      </w:r>
      <w:proofErr w:type="spellEnd"/>
      <w:r>
        <w:t xml:space="preserve"> сельсовет согласно приложению.</w:t>
      </w:r>
    </w:p>
    <w:p w:rsidR="007132D9" w:rsidRDefault="007132D9" w:rsidP="007132D9">
      <w:pPr>
        <w:suppressAutoHyphens/>
        <w:ind w:firstLine="567"/>
        <w:jc w:val="both"/>
      </w:pPr>
      <w:r>
        <w:t>2. Постановление вступает в силу после его обнародования.</w:t>
      </w:r>
    </w:p>
    <w:p w:rsidR="007132D9" w:rsidRDefault="007132D9" w:rsidP="007132D9">
      <w:pPr>
        <w:suppressAutoHyphens/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  <w:outlineLvl w:val="0"/>
      </w:pPr>
      <w:r>
        <w:t>Глава муниципального образования                                      Н.В. Широкова</w:t>
      </w:r>
    </w:p>
    <w:p w:rsidR="007132D9" w:rsidRDefault="007132D9" w:rsidP="007132D9">
      <w:pPr>
        <w:jc w:val="both"/>
        <w:outlineLvl w:val="0"/>
      </w:pPr>
      <w:r>
        <w:t xml:space="preserve"> 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  <w:r>
        <w:rPr>
          <w:szCs w:val="28"/>
        </w:rPr>
        <w:t>Разослано: администрации района, прокуратуре, в места обнародования</w:t>
      </w:r>
    </w:p>
    <w:p w:rsidR="007132D9" w:rsidRDefault="007132D9" w:rsidP="007132D9">
      <w:pPr>
        <w:rPr>
          <w:szCs w:val="28"/>
        </w:rPr>
      </w:pPr>
    </w:p>
    <w:p w:rsidR="007132D9" w:rsidRDefault="007132D9" w:rsidP="00475E6F">
      <w:pPr>
        <w:rPr>
          <w:szCs w:val="28"/>
        </w:rPr>
      </w:pPr>
    </w:p>
    <w:p w:rsidR="00475E6F" w:rsidRDefault="00475E6F" w:rsidP="00475E6F">
      <w:pPr>
        <w:rPr>
          <w:szCs w:val="28"/>
        </w:rPr>
      </w:pPr>
    </w:p>
    <w:p w:rsidR="00475E6F" w:rsidRDefault="00475E6F" w:rsidP="007132D9">
      <w:pPr>
        <w:ind w:left="6379"/>
        <w:rPr>
          <w:szCs w:val="28"/>
        </w:rPr>
      </w:pPr>
    </w:p>
    <w:p w:rsidR="00475E6F" w:rsidRDefault="00475E6F" w:rsidP="007132D9">
      <w:pPr>
        <w:ind w:left="6379"/>
        <w:rPr>
          <w:szCs w:val="28"/>
        </w:rPr>
      </w:pPr>
    </w:p>
    <w:p w:rsidR="00475E6F" w:rsidRDefault="00475E6F" w:rsidP="007132D9">
      <w:pPr>
        <w:ind w:left="6379"/>
        <w:rPr>
          <w:szCs w:val="28"/>
        </w:rPr>
      </w:pP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lastRenderedPageBreak/>
        <w:t xml:space="preserve">Приложение к </w:t>
      </w: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t>постановлению</w:t>
      </w: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t xml:space="preserve">администрации </w:t>
      </w:r>
    </w:p>
    <w:p w:rsidR="007132D9" w:rsidRDefault="00DC7AE2" w:rsidP="007132D9">
      <w:pPr>
        <w:ind w:left="6379"/>
        <w:rPr>
          <w:szCs w:val="28"/>
        </w:rPr>
      </w:pPr>
      <w:r>
        <w:rPr>
          <w:szCs w:val="28"/>
        </w:rPr>
        <w:t>от 13.10.2023 № 89</w:t>
      </w:r>
      <w:r w:rsidR="007132D9">
        <w:rPr>
          <w:szCs w:val="28"/>
        </w:rPr>
        <w:t>-п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jc w:val="center"/>
        <w:rPr>
          <w:b/>
          <w:szCs w:val="28"/>
        </w:rPr>
      </w:pPr>
      <w:r>
        <w:rPr>
          <w:b/>
          <w:szCs w:val="28"/>
        </w:rPr>
        <w:t>Методика</w:t>
      </w:r>
    </w:p>
    <w:p w:rsidR="007132D9" w:rsidRDefault="007132D9" w:rsidP="007132D9">
      <w:pPr>
        <w:tabs>
          <w:tab w:val="left" w:pos="1701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формирования  бюджета</w:t>
      </w:r>
      <w:proofErr w:type="gramEnd"/>
      <w:r>
        <w:rPr>
          <w:b/>
          <w:szCs w:val="28"/>
        </w:rPr>
        <w:t xml:space="preserve"> муниципального образовани</w:t>
      </w:r>
      <w:r w:rsidR="00231F68">
        <w:rPr>
          <w:b/>
          <w:szCs w:val="28"/>
        </w:rPr>
        <w:t xml:space="preserve">я </w:t>
      </w:r>
      <w:proofErr w:type="spellStart"/>
      <w:r w:rsidR="00231F68">
        <w:rPr>
          <w:b/>
          <w:szCs w:val="28"/>
        </w:rPr>
        <w:t>Болдыревский</w:t>
      </w:r>
      <w:proofErr w:type="spellEnd"/>
      <w:r w:rsidR="00231F68">
        <w:rPr>
          <w:b/>
          <w:szCs w:val="28"/>
        </w:rPr>
        <w:t xml:space="preserve"> сельсовет на 2024 год и плановый период 2025 и 2026</w:t>
      </w:r>
      <w:r>
        <w:rPr>
          <w:b/>
          <w:szCs w:val="28"/>
        </w:rPr>
        <w:t xml:space="preserve"> годов</w:t>
      </w:r>
    </w:p>
    <w:p w:rsidR="007132D9" w:rsidRDefault="007132D9" w:rsidP="007132D9">
      <w:pPr>
        <w:jc w:val="both"/>
        <w:rPr>
          <w:b/>
          <w:szCs w:val="28"/>
        </w:rPr>
      </w:pP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Настоящая Методика устанавливает основные подходы к формированию </w:t>
      </w:r>
      <w:proofErr w:type="gramStart"/>
      <w:r>
        <w:rPr>
          <w:szCs w:val="28"/>
        </w:rPr>
        <w:t>доходов  и</w:t>
      </w:r>
      <w:proofErr w:type="gramEnd"/>
      <w:r>
        <w:rPr>
          <w:szCs w:val="28"/>
        </w:rPr>
        <w:t xml:space="preserve"> расходов  бюджета муниципального образовани</w:t>
      </w:r>
      <w:r w:rsidR="00231F68">
        <w:rPr>
          <w:szCs w:val="28"/>
        </w:rPr>
        <w:t xml:space="preserve">я </w:t>
      </w:r>
      <w:proofErr w:type="spellStart"/>
      <w:r w:rsidR="00231F68">
        <w:rPr>
          <w:szCs w:val="28"/>
        </w:rPr>
        <w:t>Болдыревский</w:t>
      </w:r>
      <w:proofErr w:type="spellEnd"/>
      <w:r w:rsidR="00231F68">
        <w:rPr>
          <w:szCs w:val="28"/>
        </w:rPr>
        <w:t xml:space="preserve"> сельсовет на 2024 год и плановый период 2025 и 2026</w:t>
      </w:r>
      <w:r>
        <w:rPr>
          <w:szCs w:val="28"/>
        </w:rPr>
        <w:t xml:space="preserve"> годов.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Методика включает в себя разделы, определяющие порядок прогнозирования </w:t>
      </w:r>
      <w:proofErr w:type="gramStart"/>
      <w:r>
        <w:rPr>
          <w:szCs w:val="28"/>
        </w:rPr>
        <w:t>доходов  бюджета</w:t>
      </w:r>
      <w:proofErr w:type="gramEnd"/>
      <w:r>
        <w:rPr>
          <w:szCs w:val="28"/>
        </w:rPr>
        <w:t xml:space="preserve"> и формирования расходов бюджета по направлениям бюджетной политики.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В основу </w:t>
      </w:r>
      <w:proofErr w:type="gramStart"/>
      <w:r>
        <w:rPr>
          <w:szCs w:val="28"/>
        </w:rPr>
        <w:t>составления  бюджета</w:t>
      </w:r>
      <w:proofErr w:type="gramEnd"/>
      <w:r>
        <w:rPr>
          <w:szCs w:val="28"/>
        </w:rPr>
        <w:t xml:space="preserve"> му</w:t>
      </w:r>
      <w:r w:rsidR="00231F68">
        <w:rPr>
          <w:szCs w:val="28"/>
        </w:rPr>
        <w:t xml:space="preserve">ниципального образования на 2024 год и плановый период 2025 и 2026 </w:t>
      </w:r>
      <w:r>
        <w:rPr>
          <w:szCs w:val="28"/>
        </w:rPr>
        <w:t>годов положены: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>- прогноз социально-экономического развития муниципального образовани</w:t>
      </w:r>
      <w:r w:rsidR="00231F68">
        <w:rPr>
          <w:szCs w:val="28"/>
        </w:rPr>
        <w:t xml:space="preserve">я </w:t>
      </w:r>
      <w:proofErr w:type="spellStart"/>
      <w:r w:rsidR="00231F68">
        <w:rPr>
          <w:szCs w:val="28"/>
        </w:rPr>
        <w:t>Болдыревский</w:t>
      </w:r>
      <w:proofErr w:type="spellEnd"/>
      <w:r w:rsidR="00231F68">
        <w:rPr>
          <w:szCs w:val="28"/>
        </w:rPr>
        <w:t xml:space="preserve"> сельсовет на 2024 год и плановый период 2025 и 2026 </w:t>
      </w:r>
      <w:r>
        <w:rPr>
          <w:szCs w:val="28"/>
        </w:rPr>
        <w:t>годов;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>-основные направления бюджетной и налоговой политики муниципального образовани</w:t>
      </w:r>
      <w:r w:rsidR="00231F68">
        <w:rPr>
          <w:szCs w:val="28"/>
        </w:rPr>
        <w:t xml:space="preserve">я </w:t>
      </w:r>
      <w:proofErr w:type="spellStart"/>
      <w:r w:rsidR="00231F68">
        <w:rPr>
          <w:szCs w:val="28"/>
        </w:rPr>
        <w:t>Болдыревский</w:t>
      </w:r>
      <w:proofErr w:type="spellEnd"/>
      <w:r w:rsidR="00231F68">
        <w:rPr>
          <w:szCs w:val="28"/>
        </w:rPr>
        <w:t xml:space="preserve"> сельсовет на 2024 год и на плановый период 2025 и 2026</w:t>
      </w:r>
      <w:r>
        <w:rPr>
          <w:szCs w:val="28"/>
        </w:rPr>
        <w:t xml:space="preserve"> годов</w:t>
      </w:r>
    </w:p>
    <w:p w:rsidR="007132D9" w:rsidRDefault="007132D9" w:rsidP="007132D9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>-приоритеты бюджетной и налоговой политики, установленные на федеральном и областном уровне.</w:t>
      </w:r>
    </w:p>
    <w:p w:rsidR="007132D9" w:rsidRDefault="007132D9" w:rsidP="007132D9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 Прогноз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доходов  бюджета</w:t>
      </w:r>
      <w:proofErr w:type="gramEnd"/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прогнозируются на основании методик, утвержденных главными администраторами доходов с учетом следующих особенностей:</w:t>
      </w:r>
    </w:p>
    <w:p w:rsidR="007132D9" w:rsidRDefault="007132D9" w:rsidP="0071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>1. Общий прогнозный объем поступлений в бюджет налога на доходы физических лиц (НДФЛ всего) определяется как сумма прогнозных поступлений каждого вида налога.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>НДФЛ всего = НДФЛ1 + НДФЛ2 + НДФЛ3, где: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color w:val="FF0000"/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>НДФЛ1 – объем поступлений налога на доходы физических лиц с                       доходов, источником которых является налоговый агент, за исключением        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 xml:space="preserve">НДФЛ2 –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 xml:space="preserve">, полученных от осуществления деятельности физическими лицами, </w:t>
      </w:r>
      <w:r>
        <w:rPr>
          <w:szCs w:val="28"/>
        </w:rPr>
        <w:lastRenderedPageBreak/>
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7132D9" w:rsidRDefault="007132D9" w:rsidP="007132D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НДФЛ3 –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>, полученных физическими лицами в соответствии со статьей 228 Налогового кодекса Российской Федерации.</w:t>
      </w:r>
    </w:p>
    <w:p w:rsidR="007132D9" w:rsidRDefault="007132D9" w:rsidP="007132D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</w:t>
      </w:r>
      <w:r w:rsidRPr="00DC7AE2">
        <w:rPr>
          <w:szCs w:val="28"/>
          <w:highlight w:val="yellow"/>
        </w:rPr>
        <w:t xml:space="preserve">. Налог на доходы физических лиц рассчитывается исходя из </w:t>
      </w:r>
      <w:proofErr w:type="gramStart"/>
      <w:r w:rsidRPr="00DC7AE2">
        <w:rPr>
          <w:szCs w:val="28"/>
          <w:highlight w:val="yellow"/>
        </w:rPr>
        <w:t>прогнозируе</w:t>
      </w:r>
      <w:r w:rsidR="00231F68">
        <w:rPr>
          <w:szCs w:val="28"/>
          <w:highlight w:val="yellow"/>
        </w:rPr>
        <w:t>мого  фонда</w:t>
      </w:r>
      <w:proofErr w:type="gramEnd"/>
      <w:r w:rsidR="00231F68">
        <w:rPr>
          <w:szCs w:val="28"/>
          <w:highlight w:val="yellow"/>
        </w:rPr>
        <w:t xml:space="preserve"> оплаты труда за 2023</w:t>
      </w:r>
      <w:r w:rsidRPr="00DC7AE2">
        <w:rPr>
          <w:szCs w:val="28"/>
          <w:highlight w:val="yellow"/>
        </w:rPr>
        <w:t xml:space="preserve"> год, за исключением налоговых вычетов, не подлежащих налогообложению. Прогнозируемый фонд оплаты труда рассчитан исходя из ожи</w:t>
      </w:r>
      <w:r w:rsidR="00DC7AE2">
        <w:rPr>
          <w:szCs w:val="28"/>
          <w:highlight w:val="yellow"/>
        </w:rPr>
        <w:t>даемого поступления НДФЛ за 2023</w:t>
      </w:r>
      <w:r w:rsidRPr="00DC7AE2">
        <w:rPr>
          <w:szCs w:val="28"/>
          <w:highlight w:val="yellow"/>
        </w:rPr>
        <w:t xml:space="preserve"> год с </w:t>
      </w:r>
      <w:proofErr w:type="spellStart"/>
      <w:r w:rsidRPr="00DC7AE2">
        <w:rPr>
          <w:szCs w:val="28"/>
          <w:highlight w:val="yellow"/>
        </w:rPr>
        <w:t>учетом</w:t>
      </w:r>
      <w:proofErr w:type="spellEnd"/>
      <w:r w:rsidRPr="00DC7AE2">
        <w:rPr>
          <w:szCs w:val="28"/>
          <w:highlight w:val="yellow"/>
        </w:rPr>
        <w:t xml:space="preserve"> </w:t>
      </w:r>
      <w:proofErr w:type="gramStart"/>
      <w:r w:rsidRPr="00DC7AE2">
        <w:rPr>
          <w:szCs w:val="28"/>
          <w:highlight w:val="yellow"/>
        </w:rPr>
        <w:t>роста  заработной</w:t>
      </w:r>
      <w:proofErr w:type="gramEnd"/>
      <w:r w:rsidRPr="00DC7AE2">
        <w:rPr>
          <w:szCs w:val="28"/>
          <w:highlight w:val="yellow"/>
        </w:rPr>
        <w:t xml:space="preserve"> платы на </w:t>
      </w:r>
      <w:r w:rsidRPr="00DC7AE2">
        <w:rPr>
          <w:color w:val="FF0000"/>
          <w:szCs w:val="28"/>
          <w:highlight w:val="yellow"/>
        </w:rPr>
        <w:t>1,050%</w:t>
      </w:r>
      <w:r w:rsidR="00231F68">
        <w:rPr>
          <w:szCs w:val="28"/>
          <w:highlight w:val="yellow"/>
        </w:rPr>
        <w:t xml:space="preserve"> в 2023</w:t>
      </w:r>
      <w:r w:rsidRPr="00DC7AE2">
        <w:rPr>
          <w:szCs w:val="28"/>
          <w:highlight w:val="yellow"/>
        </w:rPr>
        <w:t xml:space="preserve"> году</w:t>
      </w:r>
      <w:r>
        <w:rPr>
          <w:szCs w:val="28"/>
        </w:rPr>
        <w:t xml:space="preserve">. </w:t>
      </w:r>
      <w:r w:rsidRPr="00DC7AE2">
        <w:rPr>
          <w:szCs w:val="28"/>
          <w:highlight w:val="yellow"/>
        </w:rPr>
        <w:t>Ожидаемое поступление НДФЛ обсчитано исходя из фактических поступлений данног</w:t>
      </w:r>
      <w:r w:rsidR="00231F68">
        <w:rPr>
          <w:szCs w:val="28"/>
          <w:highlight w:val="yellow"/>
        </w:rPr>
        <w:t>о налога в первом полугодии 2023</w:t>
      </w:r>
      <w:r w:rsidRPr="00DC7AE2">
        <w:rPr>
          <w:szCs w:val="28"/>
          <w:highlight w:val="yellow"/>
        </w:rPr>
        <w:t xml:space="preserve"> года и ожидаемого пост</w:t>
      </w:r>
      <w:r w:rsidR="00231F68">
        <w:rPr>
          <w:szCs w:val="28"/>
          <w:highlight w:val="yellow"/>
        </w:rPr>
        <w:t>упления НДФЛ во 2 полугодии 2023</w:t>
      </w:r>
      <w:r w:rsidRPr="00DC7AE2">
        <w:rPr>
          <w:szCs w:val="28"/>
          <w:highlight w:val="yellow"/>
        </w:rPr>
        <w:t xml:space="preserve"> года. Ожидаемое поступление НДФЛ во втором полугодии рассчитано исходя из среднего поступления за последние 3 года уровня поступления данного налога.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налога учтен налог на доходы физических лиц, перечисленный налоговыми агентами по иным налоговым ставкам (30 процентов, 9 процентов, 35 процентов, 15 процентов и иным ставкам) с</w:t>
      </w:r>
      <w:r w:rsidR="00231F68">
        <w:rPr>
          <w:rFonts w:ascii="Times New Roman" w:hAnsi="Times New Roman" w:cs="Times New Roman"/>
          <w:sz w:val="28"/>
          <w:szCs w:val="28"/>
        </w:rPr>
        <w:t>огласно   формы № 5-НДФЛ за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32D9" w:rsidRDefault="007132D9" w:rsidP="007132D9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 на доходы физических лиц зачисляется </w:t>
      </w:r>
      <w:proofErr w:type="gramStart"/>
      <w:r>
        <w:rPr>
          <w:szCs w:val="28"/>
        </w:rPr>
        <w:t>в  бюджет</w:t>
      </w:r>
      <w:proofErr w:type="gramEnd"/>
      <w:r>
        <w:rPr>
          <w:szCs w:val="28"/>
        </w:rPr>
        <w:t xml:space="preserve"> поселений по нормативу 15 процентов.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1.2. 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населения.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1.3. Прогнозный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>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2.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ЕСХН = </w:t>
      </w:r>
      <w:proofErr w:type="spellStart"/>
      <w:r>
        <w:rPr>
          <w:szCs w:val="28"/>
        </w:rPr>
        <w:t>Н</w:t>
      </w:r>
      <w:r>
        <w:rPr>
          <w:szCs w:val="28"/>
          <w:vertAlign w:val="subscript"/>
        </w:rPr>
        <w:t>н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>, где: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lastRenderedPageBreak/>
        <w:t>Н</w:t>
      </w:r>
      <w:r>
        <w:rPr>
          <w:szCs w:val="28"/>
          <w:vertAlign w:val="subscript"/>
        </w:rPr>
        <w:t>н</w:t>
      </w:r>
      <w:proofErr w:type="spellEnd"/>
      <w:r>
        <w:rPr>
          <w:szCs w:val="28"/>
        </w:rPr>
        <w:t xml:space="preserve"> – сумма начисленного налога в отчетном периоде, тыс. рублей;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И – индекс-дефлятор продукции сельского хозяйства в хозяйствах всех категорий на соответствующий год, %.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сельскохозяйственный  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зачисляется в  бюджет поселений по нормативу 50 процентов.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3. При расчете налога на имущество физических лиц в переходный период применяется следующая формула:</w:t>
      </w:r>
    </w:p>
    <w:p w:rsidR="007132D9" w:rsidRDefault="007132D9" w:rsidP="007132D9">
      <w:pPr>
        <w:tabs>
          <w:tab w:val="left" w:pos="1134"/>
        </w:tabs>
        <w:ind w:firstLine="567"/>
        <w:jc w:val="center"/>
        <w:rPr>
          <w:bCs/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bCs/>
          <w:szCs w:val="28"/>
        </w:rPr>
      </w:pPr>
      <w:r>
        <w:rPr>
          <w:bCs/>
          <w:szCs w:val="28"/>
        </w:rPr>
        <w:t>Нимф = ((</w:t>
      </w: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- Нин) х </w:t>
      </w:r>
      <w:proofErr w:type="spellStart"/>
      <w:r>
        <w:rPr>
          <w:bCs/>
          <w:szCs w:val="28"/>
        </w:rPr>
        <w:t>Кперех</w:t>
      </w:r>
      <w:proofErr w:type="spellEnd"/>
      <w:r>
        <w:rPr>
          <w:bCs/>
          <w:szCs w:val="28"/>
        </w:rPr>
        <w:t xml:space="preserve"> + Нин) х </w:t>
      </w:r>
      <w:proofErr w:type="spellStart"/>
      <w:r>
        <w:rPr>
          <w:bCs/>
          <w:szCs w:val="28"/>
        </w:rPr>
        <w:t>Соб</w:t>
      </w:r>
      <w:proofErr w:type="spellEnd"/>
      <w:r>
        <w:rPr>
          <w:bCs/>
          <w:szCs w:val="28"/>
        </w:rPr>
        <w:t>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>Нимф</w:t>
      </w:r>
      <w:r>
        <w:rPr>
          <w:szCs w:val="28"/>
        </w:rPr>
        <w:t xml:space="preserve"> – прогнозируемая сумма налога;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>сумма налога, исчисленная исходя из кадастровой стоимости имущества;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Нин </w:t>
      </w:r>
      <w:r>
        <w:rPr>
          <w:szCs w:val="28"/>
        </w:rPr>
        <w:t>–</w:t>
      </w:r>
      <w:r>
        <w:rPr>
          <w:bCs/>
          <w:szCs w:val="28"/>
        </w:rPr>
        <w:t xml:space="preserve"> сумма налога, исчисленная исходя из инвентаризационной стоимости имущества;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bCs/>
          <w:szCs w:val="28"/>
        </w:rPr>
        <w:t>Кперех</w:t>
      </w:r>
      <w:proofErr w:type="spellEnd"/>
      <w:r>
        <w:rPr>
          <w:bCs/>
          <w:szCs w:val="28"/>
        </w:rPr>
        <w:t xml:space="preserve"> - </w:t>
      </w:r>
      <w:r>
        <w:rPr>
          <w:szCs w:val="28"/>
        </w:rPr>
        <w:t>коэффициент, который изменяется ежегодно в течение переходного периода.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0,2 – применительно к первому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0,4 – применительно ко второму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0,6 – применительно к третьему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0,8 – применительно к четвертому налоговому периоду.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Соб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расчетный</w:t>
      </w:r>
      <w:proofErr w:type="spellEnd"/>
      <w:r>
        <w:rPr>
          <w:szCs w:val="28"/>
        </w:rPr>
        <w:t xml:space="preserve"> уровень собираемости (средний процент за три предыдущих года).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Расчетный уровень собираемости определяется как среднее за 3 предыдущих года значение от деления поступлений (отчет по форме № 1-НМ) на сумму начисленного налога (отчет по форме № 5-МН), умноженное на 100 процентов.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szCs w:val="28"/>
        </w:rPr>
      </w:pP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= </w:t>
      </w:r>
      <w:proofErr w:type="spellStart"/>
      <w:r>
        <w:rPr>
          <w:bCs/>
          <w:szCs w:val="28"/>
        </w:rPr>
        <w:t>Кст</w:t>
      </w:r>
      <w:proofErr w:type="spellEnd"/>
      <w:r>
        <w:rPr>
          <w:bCs/>
          <w:szCs w:val="28"/>
        </w:rPr>
        <w:t xml:space="preserve"> х </w:t>
      </w:r>
      <w:r>
        <w:rPr>
          <w:bCs/>
          <w:szCs w:val="28"/>
          <w:lang w:val="en-US"/>
        </w:rPr>
        <w:t>S</w:t>
      </w:r>
      <w:proofErr w:type="spellStart"/>
      <w:r>
        <w:rPr>
          <w:bCs/>
          <w:szCs w:val="28"/>
        </w:rPr>
        <w:t>кад</w:t>
      </w:r>
      <w:proofErr w:type="spellEnd"/>
      <w:r>
        <w:rPr>
          <w:bCs/>
          <w:szCs w:val="28"/>
        </w:rPr>
        <w:t>/100,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Кст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Федерации; 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  <w:lang w:val="en-US"/>
        </w:rPr>
        <w:t>S</w:t>
      </w:r>
      <w:proofErr w:type="spellStart"/>
      <w:r>
        <w:rPr>
          <w:bCs/>
          <w:szCs w:val="28"/>
        </w:rPr>
        <w:t>кад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расчетная</w:t>
      </w:r>
      <w:proofErr w:type="spellEnd"/>
      <w:r>
        <w:rPr>
          <w:bCs/>
          <w:szCs w:val="28"/>
        </w:rPr>
        <w:t xml:space="preserve"> средняя ставка по кадастровой стоимости объекта налогообложения за отчетный период.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szCs w:val="28"/>
        </w:rPr>
      </w:pPr>
      <w:r>
        <w:rPr>
          <w:bCs/>
          <w:szCs w:val="28"/>
        </w:rPr>
        <w:t>Нин = (</w:t>
      </w:r>
      <w:proofErr w:type="spellStart"/>
      <w:r>
        <w:rPr>
          <w:bCs/>
          <w:szCs w:val="28"/>
        </w:rPr>
        <w:t>Ист</w:t>
      </w:r>
      <w:proofErr w:type="spellEnd"/>
      <w:r>
        <w:rPr>
          <w:bCs/>
          <w:szCs w:val="28"/>
        </w:rPr>
        <w:t xml:space="preserve"> / </w:t>
      </w: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прош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bCs/>
          <w:szCs w:val="28"/>
        </w:rPr>
        <w:t xml:space="preserve"> х </w:t>
      </w: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тек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bCs/>
          <w:szCs w:val="28"/>
        </w:rPr>
        <w:t xml:space="preserve">) х 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ин/100,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Ист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>общая инвентаризационная стоимость строений, помещений и сооружений, с учетом коэффициента-</w:t>
      </w:r>
      <w:proofErr w:type="gramStart"/>
      <w:r>
        <w:rPr>
          <w:szCs w:val="28"/>
        </w:rPr>
        <w:t>дефлятора,  по</w:t>
      </w:r>
      <w:proofErr w:type="gramEnd"/>
      <w:r>
        <w:rPr>
          <w:szCs w:val="28"/>
        </w:rPr>
        <w:t xml:space="preserve"> которым предъявлен налог к уплате (отчет по форме № 5-МН);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lastRenderedPageBreak/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прош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szCs w:val="28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тек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szCs w:val="28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7132D9" w:rsidRDefault="007132D9" w:rsidP="007132D9">
      <w:pPr>
        <w:rPr>
          <w:bCs/>
          <w:szCs w:val="28"/>
        </w:rPr>
      </w:pPr>
      <w:r>
        <w:rPr>
          <w:bCs/>
          <w:szCs w:val="28"/>
          <w:lang w:val="en-US"/>
        </w:rPr>
        <w:t>S</w:t>
      </w:r>
      <w:r>
        <w:rPr>
          <w:bCs/>
          <w:szCs w:val="28"/>
        </w:rPr>
        <w:t>ин – расчетная средняя ставка по инвентаризационной стоимости объекта налогообложения за отчетный период.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   4.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КС х </w:t>
      </w:r>
      <w:proofErr w:type="gramStart"/>
      <w:r>
        <w:rPr>
          <w:szCs w:val="28"/>
        </w:rPr>
        <w:t>С  где</w:t>
      </w:r>
      <w:proofErr w:type="gramEnd"/>
      <w:r>
        <w:rPr>
          <w:szCs w:val="28"/>
        </w:rPr>
        <w:t>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 земельный налог;</w:t>
      </w: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2016 года);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С – ставка налога.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КС х С, где: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земельный налог;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С – ставка налога.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jc w:val="both"/>
        <w:rPr>
          <w:szCs w:val="28"/>
        </w:rPr>
      </w:pPr>
      <w:r>
        <w:rPr>
          <w:szCs w:val="28"/>
        </w:rPr>
        <w:t xml:space="preserve">Земельный налог зачисляется </w:t>
      </w:r>
      <w:proofErr w:type="gramStart"/>
      <w:r>
        <w:rPr>
          <w:szCs w:val="28"/>
        </w:rPr>
        <w:t>в  бюджет</w:t>
      </w:r>
      <w:proofErr w:type="gramEnd"/>
      <w:r>
        <w:rPr>
          <w:szCs w:val="28"/>
        </w:rPr>
        <w:t xml:space="preserve"> поселений по нормативу 100 процентов.</w:t>
      </w:r>
    </w:p>
    <w:p w:rsidR="007132D9" w:rsidRDefault="007132D9" w:rsidP="007132D9">
      <w:pPr>
        <w:jc w:val="both"/>
        <w:rPr>
          <w:szCs w:val="28"/>
        </w:rPr>
      </w:pPr>
    </w:p>
    <w:p w:rsidR="007132D9" w:rsidRDefault="007132D9" w:rsidP="007132D9">
      <w:pPr>
        <w:jc w:val="both"/>
        <w:rPr>
          <w:color w:val="FF0000"/>
          <w:szCs w:val="28"/>
        </w:rPr>
      </w:pPr>
      <w:r>
        <w:rPr>
          <w:szCs w:val="28"/>
        </w:rPr>
        <w:t xml:space="preserve">         5. </w:t>
      </w:r>
      <w:r>
        <w:rPr>
          <w:color w:val="FF0000"/>
          <w:szCs w:val="28"/>
        </w:rPr>
        <w:t>Государственная пошлина на 2019 год определена исходя из фактических поступлений за 1 полугодие 2018 года и 2 полугодие 2017 года. Государственная пошлина на 2020 год прогнозируется на уровне 2019 года. Государственная пошлина на 2021 год на уровне 2019 года.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=Ф1+Ф2, 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Ф1-фактическое поступление за 1 полугодие текущего года,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Ф2- фактическое поступление за 2 полугодие отчетного года.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Госпошлина зачисляется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нормативу 100,0 процентов.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двигателей  производимых на территории Российской федерации  определены на 2021 год и плановый период 2022 и 2023 годов, исходя  из общего объема прогнозируемых  поступлений в областной бюджет по данному виду дохода, норматива отчислений в бюджеты поселений в размере 10% и индивидуального норматива отчислений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Арендная плата от сдачи в аренду имущества определяется, согласно действующих договоров аренды имущества на текущий финансовый год с учетом индексации, если это предусмотрено договором аренды муниципального имущества.</w:t>
      </w:r>
    </w:p>
    <w:p w:rsidR="007132D9" w:rsidRDefault="007132D9" w:rsidP="007132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ОПАИ=Кд*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*12,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Кд – количество заключенных договоров аренды,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арендной платы в месяц.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Штрафы, санкции, возмещение ущерба за нарушение действующего законодательства на очередной финансовый год планируются исходя из фактических поступлений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за  8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месяцев 2018 года и 4 месяца 2017 года, на плановый период – на уровне очередного финансового года, а также по данным администраторов доходов. Штрафы, санкции и возмещения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ущерба  зачисляются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  бюджет по нормативу 100,0 процентов.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jc w:val="center"/>
        <w:rPr>
          <w:szCs w:val="28"/>
        </w:rPr>
      </w:pPr>
    </w:p>
    <w:p w:rsidR="007132D9" w:rsidRDefault="007132D9" w:rsidP="007132D9">
      <w:pPr>
        <w:ind w:firstLine="851"/>
        <w:jc w:val="center"/>
      </w:pPr>
      <w:r>
        <w:rPr>
          <w:b/>
          <w:szCs w:val="28"/>
        </w:rPr>
        <w:t xml:space="preserve"> </w:t>
      </w:r>
      <w:r>
        <w:rPr>
          <w:b/>
          <w:bCs/>
          <w:i/>
          <w:iCs/>
          <w:sz w:val="36"/>
          <w:szCs w:val="36"/>
        </w:rPr>
        <w:t>2. Порядок планирования бюджетных ассигнований</w:t>
      </w: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</w:p>
    <w:p w:rsidR="007132D9" w:rsidRDefault="007132D9" w:rsidP="007132D9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Планирование бюджетных ассигнований производится в соответствии с расходными обязательствами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сельсовета, исполнение которых осуществляется за счет </w:t>
      </w:r>
      <w:proofErr w:type="gramStart"/>
      <w:r>
        <w:rPr>
          <w:color w:val="000000"/>
          <w:szCs w:val="28"/>
        </w:rPr>
        <w:t>средств  бюджета</w:t>
      </w:r>
      <w:proofErr w:type="gramEnd"/>
      <w:r>
        <w:rPr>
          <w:color w:val="000000"/>
          <w:szCs w:val="28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7132D9" w:rsidRDefault="007132D9" w:rsidP="007132D9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 бюджетных ассигнований на исполнение действующих расходных </w:t>
      </w:r>
      <w:proofErr w:type="gramStart"/>
      <w:r>
        <w:rPr>
          <w:color w:val="000000"/>
          <w:szCs w:val="28"/>
        </w:rPr>
        <w:t>обязательств  включаются</w:t>
      </w:r>
      <w:proofErr w:type="gramEnd"/>
      <w:r>
        <w:rPr>
          <w:color w:val="000000"/>
          <w:szCs w:val="28"/>
        </w:rPr>
        <w:t xml:space="preserve"> бюджетные ассигнования по перечню расходных обязательств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сельсовета, обусловленных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признанию утратившими силу в 2020–2023 годах. При этом объем бюджетных ассигнований на исполнение действующих расходных обязательств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 может рассчитываться с учетом индексации </w:t>
      </w:r>
      <w:r>
        <w:rPr>
          <w:color w:val="000000"/>
          <w:szCs w:val="28"/>
        </w:rPr>
        <w:lastRenderedPageBreak/>
        <w:t>(изменения), если это предусмотрено данными нормативными правовыми актами, договорами (соглашениями).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bookmarkStart w:id="1" w:name="Par526"/>
      <w:bookmarkEnd w:id="1"/>
      <w:r>
        <w:rPr>
          <w:color w:val="000000"/>
          <w:szCs w:val="28"/>
        </w:rPr>
        <w:t>2. В п</w:t>
      </w:r>
      <w:r>
        <w:rPr>
          <w:szCs w:val="28"/>
        </w:rPr>
        <w:t>редельные объемы бюджетных ассигнований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включены первоочередные расходы на: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оплату труда с начислениями всех категорий работников;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коммунальные услуги;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услуги связи;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транспортные услуги;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увеличение стоимости материальных запасов;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уплату налогов.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3.  </w:t>
      </w:r>
      <w:r>
        <w:rPr>
          <w:color w:val="FF0000"/>
          <w:szCs w:val="28"/>
        </w:rPr>
        <w:t xml:space="preserve">Бюджет на 2019 год и на плановый период 2020 и 2021 годов формируется на основе муниципальных программ.  </w:t>
      </w:r>
    </w:p>
    <w:p w:rsidR="007132D9" w:rsidRDefault="007132D9" w:rsidP="007132D9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Объемы бюджетных ассигнований на 2019 год определяются на основе утвержденных решением Совета депутатов муниципального образования 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 «О   бюджете муниципального образования 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 сельсовет на 2018 год и плановый период 2019-2020 годов» от 22.12.2016 г № 18/86-рс,  с учетом исключения  расходных обязательств, действие которых завершено в 2018 году и с  учетом реализации мер по  оптимизации  расходов прежде всего, на реализацию приоритетных направлений и проектов, обеспечивающих решение задач, поставленных в послании Президента Российской Федерации Федеральному Собранию Российской Федерации, стратегии развития Оренбургской области и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района.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>Уточнение бюджетных ассигнований на 2019 год и 2020-2021 годы осуществляется с учетом следующих общих подходов:</w:t>
      </w:r>
    </w:p>
    <w:p w:rsidR="007132D9" w:rsidRDefault="007132D9" w:rsidP="007132D9">
      <w:pPr>
        <w:pStyle w:val="a4"/>
        <w:ind w:left="0"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 Начисления на фонд оплаты труда определяются по единым тарифам страховых взносов в системы пенсионного, социального и медицинского страхования на 2018 </w:t>
      </w:r>
      <w:proofErr w:type="gramStart"/>
      <w:r>
        <w:rPr>
          <w:color w:val="FF0000"/>
          <w:sz w:val="28"/>
          <w:szCs w:val="28"/>
        </w:rPr>
        <w:t>год  в</w:t>
      </w:r>
      <w:proofErr w:type="gramEnd"/>
      <w:r>
        <w:rPr>
          <w:color w:val="FF0000"/>
          <w:sz w:val="28"/>
          <w:szCs w:val="28"/>
        </w:rPr>
        <w:t xml:space="preserve"> размере 30,0 %. 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>3.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труда;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4. Расходы на коммунальные услуги планируются исходя из фактических расходов в 2018 </w:t>
      </w:r>
      <w:proofErr w:type="gramStart"/>
      <w:r>
        <w:rPr>
          <w:color w:val="FF0000"/>
          <w:szCs w:val="28"/>
        </w:rPr>
        <w:t>году  с</w:t>
      </w:r>
      <w:proofErr w:type="gramEnd"/>
      <w:r>
        <w:rPr>
          <w:color w:val="FF0000"/>
          <w:szCs w:val="28"/>
        </w:rPr>
        <w:t xml:space="preserve"> увеличением стоимости электроэнергии в 2019 году на 4,8%, в 2020 году на 8,2%   и  на 3,8 % в 2021 году, газа- на 3,7% в 2019 году, на 3,3% в 2020-2021 годах, тепловую энергию в 2019 году 3,8%, на 4,0 % в 2020-2021 годах, связи в 2019 году на 2,0%, в 2020-2021 годов на 1,4%. 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   5.    Расходы на реализацию мероприятий, включенных в муниципальные программы </w:t>
      </w:r>
      <w:proofErr w:type="spellStart"/>
      <w:r>
        <w:rPr>
          <w:szCs w:val="28"/>
        </w:rPr>
        <w:t>Болдыревского</w:t>
      </w:r>
      <w:proofErr w:type="spellEnd"/>
      <w:r>
        <w:rPr>
          <w:szCs w:val="28"/>
        </w:rPr>
        <w:t xml:space="preserve"> сельсовета</w:t>
      </w:r>
      <w:r>
        <w:rPr>
          <w:bCs/>
          <w:szCs w:val="28"/>
        </w:rPr>
        <w:t xml:space="preserve">, определяются с учетом предельных объемов бюджетных ассигнований, доведенных до главных </w:t>
      </w:r>
      <w:proofErr w:type="gramStart"/>
      <w:r>
        <w:rPr>
          <w:bCs/>
          <w:szCs w:val="28"/>
        </w:rPr>
        <w:t>распорядителей  бюджетных</w:t>
      </w:r>
      <w:proofErr w:type="gramEnd"/>
      <w:r>
        <w:rPr>
          <w:bCs/>
          <w:szCs w:val="28"/>
        </w:rPr>
        <w:t xml:space="preserve"> средств (ответственным исполнителям, соисполнителям, участникам муниципальных программ), и необходимостью достижения  установленных в муниципальных программах целевых показателей. 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lastRenderedPageBreak/>
        <w:t>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программы, направленных на достижение значений инди</w:t>
      </w:r>
      <w:r>
        <w:rPr>
          <w:szCs w:val="28"/>
        </w:rPr>
        <w:softHyphen/>
        <w:t>кативных показателей.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Непрогр</w:t>
      </w:r>
      <w:r w:rsidR="00DC7AE2">
        <w:rPr>
          <w:szCs w:val="28"/>
        </w:rPr>
        <w:t xml:space="preserve">аммные расходы в бюджете на 2023 год и </w:t>
      </w:r>
      <w:proofErr w:type="spellStart"/>
      <w:r w:rsidR="00DC7AE2">
        <w:rPr>
          <w:szCs w:val="28"/>
        </w:rPr>
        <w:t>плановй</w:t>
      </w:r>
      <w:proofErr w:type="spellEnd"/>
      <w:r w:rsidR="00DC7AE2">
        <w:rPr>
          <w:szCs w:val="28"/>
        </w:rPr>
        <w:t xml:space="preserve"> период 2024-2025</w:t>
      </w:r>
      <w:r>
        <w:rPr>
          <w:szCs w:val="28"/>
        </w:rPr>
        <w:t xml:space="preserve"> гг. не планируются. 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6. Межбюджетные трансферты включаются в разделы классификации расходов </w:t>
      </w:r>
      <w:proofErr w:type="gramStart"/>
      <w:r>
        <w:rPr>
          <w:szCs w:val="28"/>
        </w:rPr>
        <w:t>бюджета  поселения</w:t>
      </w:r>
      <w:proofErr w:type="gramEnd"/>
      <w:r>
        <w:rPr>
          <w:szCs w:val="28"/>
        </w:rPr>
        <w:t xml:space="preserve"> в соответствии с их отраслевой принадлежностью.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center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Отраслевые особенности формирования бюджета поселения</w:t>
      </w:r>
      <w:r>
        <w:rPr>
          <w:i/>
          <w:iCs/>
          <w:sz w:val="32"/>
          <w:szCs w:val="32"/>
        </w:rPr>
        <w:t>.</w:t>
      </w:r>
    </w:p>
    <w:p w:rsidR="007132D9" w:rsidRDefault="007132D9" w:rsidP="007132D9">
      <w:pPr>
        <w:ind w:firstLine="851"/>
        <w:jc w:val="both"/>
        <w:rPr>
          <w:b/>
          <w:bCs/>
          <w:sz w:val="32"/>
          <w:szCs w:val="32"/>
        </w:rPr>
      </w:pP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1.Общегосударственные расходы</w:t>
      </w:r>
    </w:p>
    <w:p w:rsidR="007132D9" w:rsidRDefault="007132D9" w:rsidP="007132D9">
      <w:pPr>
        <w:ind w:firstLine="567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При определении объема </w:t>
      </w:r>
      <w:proofErr w:type="gramStart"/>
      <w:r>
        <w:rPr>
          <w:color w:val="FF0000"/>
          <w:szCs w:val="28"/>
        </w:rPr>
        <w:t>расходов  бюджета</w:t>
      </w:r>
      <w:proofErr w:type="gramEnd"/>
      <w:r>
        <w:rPr>
          <w:color w:val="FF0000"/>
          <w:szCs w:val="28"/>
        </w:rPr>
        <w:t xml:space="preserve"> МО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на содержание аппарата управления учитываются расходы на оплату труда  органов местного самоуправления, рассчитанные исходя из  штатной численности  работников органов местного самоуправления и условий оплаты труда, установленных решением Совета депутатов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от </w:t>
      </w:r>
      <w:r w:rsidR="00466BCD">
        <w:rPr>
          <w:color w:val="FF0000"/>
          <w:szCs w:val="28"/>
        </w:rPr>
        <w:t>17.01.2020 г.  № 41/144</w:t>
      </w:r>
      <w:r>
        <w:rPr>
          <w:color w:val="FF0000"/>
          <w:szCs w:val="28"/>
        </w:rPr>
        <w:t xml:space="preserve">-рс «О денежном </w:t>
      </w:r>
      <w:proofErr w:type="gramStart"/>
      <w:r>
        <w:rPr>
          <w:color w:val="FF0000"/>
          <w:szCs w:val="28"/>
        </w:rPr>
        <w:t>содержании  муниципальных</w:t>
      </w:r>
      <w:proofErr w:type="gramEnd"/>
      <w:r>
        <w:rPr>
          <w:color w:val="FF0000"/>
          <w:szCs w:val="28"/>
        </w:rPr>
        <w:t xml:space="preserve"> служащих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 Оренбургской области», от 31.10.2016 г № 8/51-рс «Об утверждении Положения об оплате труда главы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 Оренбургской области».</w:t>
      </w:r>
    </w:p>
    <w:p w:rsidR="007132D9" w:rsidRDefault="007132D9" w:rsidP="007132D9">
      <w:pPr>
        <w:ind w:firstLine="567"/>
        <w:jc w:val="both"/>
        <w:rPr>
          <w:color w:val="FF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Материальные затраты на содержание </w:t>
      </w:r>
      <w:r>
        <w:rPr>
          <w:color w:val="FF0000"/>
          <w:szCs w:val="28"/>
        </w:rPr>
        <w:t xml:space="preserve">муниципальных служащих </w:t>
      </w:r>
      <w:r>
        <w:rPr>
          <w:color w:val="FF0000"/>
          <w:szCs w:val="28"/>
          <w:shd w:val="clear" w:color="auto" w:fill="FFFFFF"/>
        </w:rPr>
        <w:t xml:space="preserve">определены по общим подходам к формированию объемов бюджетного финансирования </w:t>
      </w:r>
      <w:proofErr w:type="gramStart"/>
      <w:r>
        <w:rPr>
          <w:color w:val="FF0000"/>
          <w:szCs w:val="28"/>
          <w:shd w:val="clear" w:color="auto" w:fill="FFFFFF"/>
        </w:rPr>
        <w:t>муниципальных  бюджетных</w:t>
      </w:r>
      <w:proofErr w:type="gramEnd"/>
      <w:r>
        <w:rPr>
          <w:color w:val="FF0000"/>
          <w:szCs w:val="28"/>
          <w:shd w:val="clear" w:color="auto" w:fill="FFFFFF"/>
        </w:rPr>
        <w:t xml:space="preserve"> учреждений. </w:t>
      </w:r>
    </w:p>
    <w:p w:rsidR="007132D9" w:rsidRDefault="007132D9" w:rsidP="007132D9">
      <w:pPr>
        <w:ind w:firstLine="567"/>
        <w:jc w:val="both"/>
        <w:rPr>
          <w:color w:val="FF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В общегосударственные расходы планируются трансферты бюджету муниципального района на исполнение полномочий по осуществлению внешнего и внутреннего муниципального финансового контроля. Объем трансфертов распределяется на один рубль собственных доходов за исключением субвенций в объеме 0,004102 на 2019 </w:t>
      </w:r>
      <w:proofErr w:type="gramStart"/>
      <w:r>
        <w:rPr>
          <w:color w:val="FF0000"/>
          <w:szCs w:val="28"/>
          <w:shd w:val="clear" w:color="auto" w:fill="FFFFFF"/>
        </w:rPr>
        <w:t>год,  на</w:t>
      </w:r>
      <w:proofErr w:type="gramEnd"/>
      <w:r>
        <w:rPr>
          <w:color w:val="FF0000"/>
          <w:szCs w:val="28"/>
          <w:shd w:val="clear" w:color="auto" w:fill="FFFFFF"/>
        </w:rPr>
        <w:t xml:space="preserve"> плановый период 2020-2021 годов  в объеме 0,004102.  Результаты округляются до целой единицы. Объем </w:t>
      </w:r>
      <w:proofErr w:type="gramStart"/>
      <w:r>
        <w:rPr>
          <w:color w:val="FF0000"/>
          <w:szCs w:val="28"/>
          <w:shd w:val="clear" w:color="auto" w:fill="FFFFFF"/>
        </w:rPr>
        <w:t>полномочий  по</w:t>
      </w:r>
      <w:proofErr w:type="gramEnd"/>
      <w:r>
        <w:rPr>
          <w:color w:val="FF0000"/>
          <w:szCs w:val="28"/>
          <w:shd w:val="clear" w:color="auto" w:fill="FFFFFF"/>
        </w:rPr>
        <w:t xml:space="preserve"> внешнему муниципальному финансовому контролю  предусматривается  на 2019-2021 год в размере 14,7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 ежегодно. Объем </w:t>
      </w:r>
      <w:proofErr w:type="gramStart"/>
      <w:r>
        <w:rPr>
          <w:color w:val="FF0000"/>
          <w:szCs w:val="28"/>
          <w:shd w:val="clear" w:color="auto" w:fill="FFFFFF"/>
        </w:rPr>
        <w:t>полномочий  по</w:t>
      </w:r>
      <w:proofErr w:type="gramEnd"/>
      <w:r>
        <w:rPr>
          <w:color w:val="FF0000"/>
          <w:szCs w:val="28"/>
          <w:shd w:val="clear" w:color="auto" w:fill="FFFFFF"/>
        </w:rPr>
        <w:t xml:space="preserve"> внутреннему муниципальному финансовому контролю  предусматривается  на 2019-2021 год в размере 15,0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>. ежегодно.</w:t>
      </w:r>
    </w:p>
    <w:p w:rsidR="007132D9" w:rsidRDefault="007132D9" w:rsidP="007132D9">
      <w:pPr>
        <w:ind w:firstLine="567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</w:t>
      </w: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  Муниципальный долг</w:t>
      </w:r>
    </w:p>
    <w:p w:rsidR="007132D9" w:rsidRDefault="00E87318" w:rsidP="007132D9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t>В бюджете поселения на 2023 год и плановый период 2024 и 2025</w:t>
      </w:r>
      <w:r w:rsidR="007132D9">
        <w:rPr>
          <w:szCs w:val="28"/>
        </w:rPr>
        <w:t xml:space="preserve"> годов предусмотрены следующие показатели муниципального долга поселения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jc w:val="both"/>
        <w:rPr>
          <w:b/>
          <w:bCs/>
          <w:sz w:val="32"/>
          <w:szCs w:val="32"/>
        </w:rPr>
      </w:pPr>
      <w:r>
        <w:rPr>
          <w:b/>
          <w:bCs/>
          <w:i/>
          <w:iCs/>
          <w:szCs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b/>
          <w:bCs/>
          <w:i/>
          <w:iCs/>
          <w:szCs w:val="28"/>
        </w:rPr>
        <w:t>Болдыревский</w:t>
      </w:r>
      <w:proofErr w:type="spellEnd"/>
      <w:r>
        <w:rPr>
          <w:b/>
          <w:bCs/>
          <w:i/>
          <w:iCs/>
          <w:szCs w:val="28"/>
        </w:rPr>
        <w:t xml:space="preserve"> сельсовет.</w:t>
      </w:r>
    </w:p>
    <w:p w:rsidR="007132D9" w:rsidRDefault="007132D9" w:rsidP="007132D9">
      <w:pPr>
        <w:ind w:firstLine="851"/>
        <w:jc w:val="both"/>
        <w:rPr>
          <w:b/>
          <w:bCs/>
          <w:sz w:val="32"/>
          <w:szCs w:val="32"/>
        </w:rPr>
      </w:pPr>
    </w:p>
    <w:p w:rsidR="007132D9" w:rsidRDefault="007132D9" w:rsidP="007132D9">
      <w:pPr>
        <w:ind w:firstLine="85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3"/>
        <w:gridCol w:w="1106"/>
        <w:gridCol w:w="860"/>
        <w:gridCol w:w="776"/>
      </w:tblGrid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9" w:rsidRDefault="007132D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</w:t>
            </w:r>
            <w:r w:rsidR="00E87318">
              <w:rPr>
                <w:bCs/>
                <w:szCs w:val="2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E87318">
            <w: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E87318">
            <w:r>
              <w:t>2025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муниципального долга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муниципальных гарантий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Кредиты  кредитных</w:t>
            </w:r>
            <w:proofErr w:type="gramEnd"/>
            <w:r>
              <w:rPr>
                <w:szCs w:val="28"/>
              </w:rPr>
              <w:t xml:space="preserve"> организаций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расходов на обслуживание долга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</w:tbl>
    <w:p w:rsidR="007132D9" w:rsidRDefault="007132D9" w:rsidP="007132D9">
      <w:pPr>
        <w:ind w:firstLine="851"/>
        <w:rPr>
          <w:b/>
          <w:bCs/>
          <w:szCs w:val="28"/>
        </w:rPr>
      </w:pPr>
    </w:p>
    <w:p w:rsidR="007132D9" w:rsidRDefault="007132D9" w:rsidP="007132D9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3. Национальная оборона, национальная безопасность и</w:t>
      </w:r>
    </w:p>
    <w:p w:rsidR="007132D9" w:rsidRDefault="007132D9" w:rsidP="007132D9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правоохранительная деятельность</w:t>
      </w:r>
    </w:p>
    <w:p w:rsidR="007132D9" w:rsidRDefault="007132D9" w:rsidP="007132D9">
      <w:pPr>
        <w:pStyle w:val="ConsPlusNormal"/>
        <w:shd w:val="clear" w:color="auto" w:fill="FFFFFF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shd w:val="clear" w:color="auto" w:fill="FFFFFF"/>
        <w:jc w:val="both"/>
        <w:rPr>
          <w:color w:val="FF0000"/>
          <w:szCs w:val="28"/>
        </w:rPr>
      </w:pPr>
      <w:r>
        <w:rPr>
          <w:szCs w:val="28"/>
        </w:rPr>
        <w:t xml:space="preserve">        В бюджете поселения запланированы расходы на осуществление </w:t>
      </w:r>
      <w:r>
        <w:rPr>
          <w:color w:val="FF0000"/>
          <w:szCs w:val="28"/>
        </w:rPr>
        <w:t xml:space="preserve">первичного воинского учета на территориях, где отсутствуют военные комиссариаты, за счет поступления субвенций </w:t>
      </w:r>
      <w:r>
        <w:rPr>
          <w:color w:val="FF0000"/>
          <w:szCs w:val="28"/>
          <w:shd w:val="clear" w:color="auto" w:fill="FFFFFF"/>
        </w:rPr>
        <w:t xml:space="preserve">на 2019 год в размере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., на 2020 год в размере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., на 2021 год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>. соответственно</w:t>
      </w:r>
      <w:r>
        <w:rPr>
          <w:color w:val="FF0000"/>
          <w:szCs w:val="28"/>
        </w:rPr>
        <w:t>.</w:t>
      </w:r>
    </w:p>
    <w:p w:rsidR="007132D9" w:rsidRDefault="007132D9" w:rsidP="007132D9">
      <w:pPr>
        <w:shd w:val="clear" w:color="auto" w:fill="FFFFFF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    </w:t>
      </w:r>
      <w:proofErr w:type="gramStart"/>
      <w:r>
        <w:rPr>
          <w:color w:val="FF0000"/>
          <w:szCs w:val="28"/>
        </w:rPr>
        <w:t>В  бюджете</w:t>
      </w:r>
      <w:proofErr w:type="gramEnd"/>
      <w:r>
        <w:rPr>
          <w:color w:val="FF0000"/>
          <w:szCs w:val="28"/>
        </w:rPr>
        <w:t xml:space="preserve"> поселения предусматриваются расходы на реализацию муниципальной программы «Развитие системы Гражданской обороны, пожарной безопасности,  безопасности на водных объектах, защиты населения от чрезвычайных ситуаций и снижения рисков их возникновения на территории </w:t>
      </w:r>
      <w:proofErr w:type="spellStart"/>
      <w:r>
        <w:rPr>
          <w:color w:val="FF0000"/>
          <w:szCs w:val="28"/>
        </w:rPr>
        <w:t>Болдыревского</w:t>
      </w:r>
      <w:proofErr w:type="spellEnd"/>
      <w:r>
        <w:rPr>
          <w:color w:val="FF0000"/>
          <w:szCs w:val="28"/>
        </w:rPr>
        <w:t xml:space="preserve"> сельсовета  на 2019-2024 </w:t>
      </w:r>
      <w:proofErr w:type="spellStart"/>
      <w:r>
        <w:rPr>
          <w:color w:val="FF0000"/>
          <w:szCs w:val="28"/>
        </w:rPr>
        <w:t>гг</w:t>
      </w:r>
      <w:proofErr w:type="spellEnd"/>
      <w:r>
        <w:rPr>
          <w:color w:val="FF0000"/>
          <w:szCs w:val="28"/>
        </w:rPr>
        <w:t xml:space="preserve">».  </w:t>
      </w:r>
      <w:proofErr w:type="gramStart"/>
      <w:r>
        <w:rPr>
          <w:color w:val="FF0000"/>
          <w:szCs w:val="28"/>
        </w:rPr>
        <w:t>В  области</w:t>
      </w:r>
      <w:proofErr w:type="gramEnd"/>
      <w:r>
        <w:rPr>
          <w:color w:val="FF0000"/>
          <w:szCs w:val="28"/>
        </w:rPr>
        <w:t xml:space="preserve">  пожарной  безопасности планируются расходы на 2019 г.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 на плановый период 2020 г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., на  2021 годов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 В области защиты населения и территории от чрезвычайных ситуаций природного и техногенного характера на период 2019-2021 год планируются расходы в сумме 15,0 тыс. руб. ежегодно. 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ind w:left="705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4. Национальная экономика</w:t>
      </w:r>
    </w:p>
    <w:p w:rsidR="007132D9" w:rsidRDefault="007132D9" w:rsidP="007132D9">
      <w:pPr>
        <w:ind w:left="705"/>
        <w:jc w:val="center"/>
        <w:rPr>
          <w:b/>
          <w:bCs/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color w:val="FF0000"/>
          <w:szCs w:val="28"/>
        </w:rPr>
      </w:pPr>
      <w:r>
        <w:rPr>
          <w:szCs w:val="28"/>
        </w:rPr>
        <w:t xml:space="preserve">     </w:t>
      </w:r>
      <w:r>
        <w:rPr>
          <w:color w:val="FF0000"/>
          <w:szCs w:val="28"/>
        </w:rPr>
        <w:t xml:space="preserve">Бюджетные ассигнования Дорожного фонда </w:t>
      </w:r>
      <w:proofErr w:type="gramStart"/>
      <w:r>
        <w:rPr>
          <w:color w:val="FF0000"/>
          <w:szCs w:val="28"/>
        </w:rPr>
        <w:t>предусматриваются  на</w:t>
      </w:r>
      <w:proofErr w:type="gramEnd"/>
      <w:r>
        <w:rPr>
          <w:color w:val="FF0000"/>
          <w:szCs w:val="28"/>
        </w:rPr>
        <w:t xml:space="preserve"> 2019 г в сумме 440,6 тыс. рублей, на плановый период  2020  и 2021 годы в сумме также в сумме 440,6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>. ежегодно соответственно в размере прогнозируемого объема поступлений акцизов.</w:t>
      </w:r>
    </w:p>
    <w:p w:rsidR="007132D9" w:rsidRDefault="007132D9" w:rsidP="007132D9">
      <w:pPr>
        <w:jc w:val="both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color w:val="FF0000"/>
          <w:szCs w:val="28"/>
          <w:lang w:eastAsia="ru-RU"/>
        </w:rPr>
        <w:t xml:space="preserve">     Также предусматриваются межбюджетные трансферты району на исполнение переданных полномочий в части резервирования и изъятия земельных участков в границах поселений, выдачи разрешений на строительство и разрешений на ввод объектов в эксплуатацию на 2019 год и плановый период 2020 и 2021 гг.  по 1,8 тыс. рублей ежегодно.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  <w:r>
        <w:t xml:space="preserve"> </w:t>
      </w:r>
    </w:p>
    <w:p w:rsidR="007132D9" w:rsidRDefault="007132D9" w:rsidP="007132D9">
      <w:pPr>
        <w:pStyle w:val="ConsPlusNormal"/>
        <w:ind w:firstLine="85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коммунальное хозяйство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бюджете поселения предусматриваются расходы на реализацию муниципальной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программы  "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Комплексное развитие жилищно-коммунального хозяйства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Оренбургской области на 2019-2024 годы".  В рамках данной программы планируются расходы: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- приобретение глубинных насосов – 60,0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на 2019 год, 60,0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на  2020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год, 60,0 тыс. руб. на 2021 год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ремонт водопровода на 2019 год и 2020 год – по 150,0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2021 год – 250,0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32D9" w:rsidRDefault="007132D9" w:rsidP="007132D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бюджете поселения предусматриваются расходы на реализацию муниципальной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программы  "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на 2019-2024 годы".  В рамках данной программы планируются расходы: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Благоустройство территории на 2019 год в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сумме  88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на плановый период 2020-2021 годов 186,8 тыс. руб. и 91,3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соответственно.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Уборка территории на 2019 год в сумме 100,0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2020 год – 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2021 год – 100,0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</w:t>
      </w:r>
    </w:p>
    <w:p w:rsidR="007132D9" w:rsidRDefault="007132D9" w:rsidP="007132D9">
      <w:pPr>
        <w:pStyle w:val="ConsPlusNormal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6. Культура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 кинематография</w:t>
      </w:r>
      <w:proofErr w:type="gramEnd"/>
    </w:p>
    <w:p w:rsidR="007132D9" w:rsidRDefault="007132D9" w:rsidP="007132D9">
      <w:pPr>
        <w:pStyle w:val="ConsPlusNormal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В бюджете поселения предусматриваются расходы на реализацию муниципальной программы  «Развитие культуры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Оренбургской области на 2019-2024 годы» В рамках данной программы планируются расходы: передача  полномочий  сельским поселением по финансированию учреждений культуры  на районный бюджет с передачей средств на осуществление этих полномочий на 2019 год в сумме  2253,7 тыс. рублей, на 2019 и 2020 годы в сумме 2253,7 тыс. руб. и 2253,7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соответственно.</w:t>
      </w: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7.Условно утвержденные расходы</w:t>
      </w: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132D9" w:rsidRDefault="007132D9" w:rsidP="007132D9">
      <w:pPr>
        <w:pStyle w:val="ConsNormal"/>
        <w:tabs>
          <w:tab w:val="left" w:pos="6855"/>
        </w:tabs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В бюджете поселения предусмотрены условно утвержденные расходы на плановый период 2021 и 2022 годов в сумме 123,0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>. и 256,0 тыс. руб. соответственно.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2"/>
    <w:rsid w:val="00231F68"/>
    <w:rsid w:val="003958FA"/>
    <w:rsid w:val="00466BCD"/>
    <w:rsid w:val="00475E6F"/>
    <w:rsid w:val="00483F25"/>
    <w:rsid w:val="007132D9"/>
    <w:rsid w:val="00A82E42"/>
    <w:rsid w:val="00AC4FDA"/>
    <w:rsid w:val="00DC7AE2"/>
    <w:rsid w:val="00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7C23-DE34-4836-8224-59E7DE0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132D9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32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132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E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2023-08-18T07:23:00Z</cp:lastPrinted>
  <dcterms:created xsi:type="dcterms:W3CDTF">2022-07-14T07:01:00Z</dcterms:created>
  <dcterms:modified xsi:type="dcterms:W3CDTF">2023-11-07T07:04:00Z</dcterms:modified>
</cp:coreProperties>
</file>